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28A89EFA" w:rsidR="00576636" w:rsidRPr="00E65556" w:rsidRDefault="00BD3AD6" w:rsidP="00BD3AD6">
            <w:pPr>
              <w:ind w:right="432"/>
              <w:rPr>
                <w:sz w:val="18"/>
                <w:szCs w:val="18"/>
              </w:rPr>
            </w:pPr>
            <w:r>
              <w:rPr>
                <w:sz w:val="18"/>
                <w:szCs w:val="18"/>
              </w:rPr>
              <w:t>J.P. Morgan</w:t>
            </w:r>
            <w:r w:rsidR="00981C47">
              <w:rPr>
                <w:sz w:val="18"/>
                <w:szCs w:val="18"/>
              </w:rPr>
              <w:t xml:space="preserve"> </w:t>
            </w:r>
            <w:r>
              <w:rPr>
                <w:sz w:val="18"/>
                <w:szCs w:val="18"/>
              </w:rPr>
              <w:t>Bank</w:t>
            </w:r>
            <w:r w:rsidR="00981C47" w:rsidRPr="00981C47">
              <w:rPr>
                <w:sz w:val="18"/>
                <w:szCs w:val="18"/>
              </w:rPr>
              <w:t xml:space="preserve"> (</w:t>
            </w:r>
            <w:r>
              <w:rPr>
                <w:sz w:val="18"/>
                <w:szCs w:val="18"/>
              </w:rPr>
              <w:t>Ireland</w:t>
            </w:r>
            <w:r w:rsidR="00981C47" w:rsidRPr="00981C47">
              <w:rPr>
                <w:sz w:val="18"/>
                <w:szCs w:val="18"/>
              </w:rPr>
              <w:t xml:space="preserve">) </w:t>
            </w:r>
            <w:r w:rsidR="00981C47">
              <w:rPr>
                <w:sz w:val="18"/>
                <w:szCs w:val="18"/>
              </w:rPr>
              <w:t>PLC</w:t>
            </w:r>
            <w:r w:rsidR="00981C47" w:rsidRPr="00981C47">
              <w:rPr>
                <w:sz w:val="18"/>
                <w:szCs w:val="18"/>
              </w:rPr>
              <w:t xml:space="preserve"> </w:t>
            </w:r>
            <w:r w:rsidR="00981C47">
              <w:rPr>
                <w:sz w:val="18"/>
                <w:szCs w:val="18"/>
              </w:rPr>
              <w:t>(</w:t>
            </w:r>
            <w:r w:rsidR="00981C47" w:rsidRPr="00981C47">
              <w:rPr>
                <w:sz w:val="18"/>
                <w:szCs w:val="18"/>
              </w:rPr>
              <w:t>5493009H2EPHG3FWFK39</w:t>
            </w:r>
            <w:r w:rsidR="00981C47">
              <w:rPr>
                <w:sz w:val="18"/>
                <w:szCs w:val="18"/>
              </w:rPr>
              <w:t>)</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69625DDD" w:rsidR="0047552E" w:rsidRPr="003C48D4" w:rsidRDefault="00C36827">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47552E" w:rsidRPr="003C48D4" w14:paraId="52A1BE7B" w14:textId="77777777" w:rsidTr="00FD4180">
        <w:tc>
          <w:tcPr>
            <w:tcW w:w="14400" w:type="dxa"/>
            <w:gridSpan w:val="2"/>
            <w:tcBorders>
              <w:left w:val="single" w:sz="12" w:space="0" w:color="auto"/>
              <w:right w:val="single" w:sz="12" w:space="0" w:color="auto"/>
            </w:tcBorders>
          </w:tcPr>
          <w:p w14:paraId="58565C2D" w14:textId="77777777" w:rsidR="00425674" w:rsidRPr="004D5B5F" w:rsidRDefault="00425674" w:rsidP="00024780">
            <w:pPr>
              <w:rPr>
                <w:sz w:val="18"/>
                <w:szCs w:val="18"/>
              </w:rPr>
            </w:pPr>
          </w:p>
          <w:p w14:paraId="04C69DD6" w14:textId="087D833A" w:rsidR="0047552E" w:rsidRPr="004D5B5F" w:rsidRDefault="00863C86">
            <w:pPr>
              <w:rPr>
                <w:sz w:val="18"/>
                <w:szCs w:val="18"/>
              </w:rPr>
            </w:pPr>
            <w:r w:rsidRPr="004D5B5F">
              <w:rPr>
                <w:sz w:val="18"/>
                <w:szCs w:val="18"/>
              </w:rPr>
              <w:t xml:space="preserve">Within our fund order routing services product offering, currently an execution will arise on client instructions to subscribe for, or redeem, units in certain funds. In certain cases, for example, where we do not have a direct relationship with a fund, we may use third parties to execute the orders. In the year 2017, our review found the obligation of Best Execution was met in each case.  The application was monitored by J.P. Morgan on a regular basis, through post-trade controls performed by the business which were monitored at the </w:t>
            </w:r>
            <w:r w:rsidR="00BD3AD6">
              <w:rPr>
                <w:sz w:val="18"/>
                <w:szCs w:val="18"/>
              </w:rPr>
              <w:t xml:space="preserve">Custody and Fund Services </w:t>
            </w:r>
            <w:r w:rsidRPr="004D5B5F">
              <w:rPr>
                <w:sz w:val="18"/>
                <w:szCs w:val="18"/>
              </w:rPr>
              <w:t xml:space="preserve">Best Execution forum. This monitoring identified execution situations which are potentially subject to Best Execution and also monitored the correct application of the decision making process. </w:t>
            </w:r>
            <w:r w:rsidR="00425674" w:rsidRPr="004D5B5F">
              <w:rPr>
                <w:sz w:val="18"/>
                <w:szCs w:val="18"/>
              </w:rPr>
              <w:br/>
            </w:r>
          </w:p>
        </w:tc>
      </w:tr>
      <w:tr w:rsidR="00427817" w:rsidRPr="003C48D4" w14:paraId="4000381D" w14:textId="77777777" w:rsidTr="00FD4180">
        <w:tc>
          <w:tcPr>
            <w:tcW w:w="4410" w:type="dxa"/>
            <w:tcBorders>
              <w:left w:val="single" w:sz="12" w:space="0" w:color="auto"/>
            </w:tcBorders>
            <w:shd w:val="clear" w:color="auto" w:fill="D9D9D9" w:themeFill="background1" w:themeFillShade="D9"/>
          </w:tcPr>
          <w:p w14:paraId="2215672D" w14:textId="6DC91323" w:rsidR="00427817" w:rsidRPr="003C48D4" w:rsidRDefault="00427817" w:rsidP="00427817">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2A23F1CE" w14:textId="7462FFBD" w:rsidR="00427817" w:rsidRPr="00427817" w:rsidRDefault="00427817" w:rsidP="00427817">
            <w:pPr>
              <w:spacing w:after="120"/>
              <w:jc w:val="both"/>
              <w:rPr>
                <w:b/>
                <w:sz w:val="18"/>
                <w:szCs w:val="18"/>
              </w:rPr>
            </w:pPr>
            <w:r>
              <w:rPr>
                <w:sz w:val="18"/>
                <w:szCs w:val="18"/>
              </w:rPr>
              <w:t>F</w:t>
            </w:r>
            <w:r w:rsidRPr="00E65556">
              <w:rPr>
                <w:sz w:val="18"/>
                <w:szCs w:val="18"/>
              </w:rPr>
              <w:t>or information on the</w:t>
            </w:r>
            <w:r>
              <w:rPr>
                <w:sz w:val="18"/>
                <w:szCs w:val="18"/>
              </w:rPr>
              <w:t xml:space="preserve"> importance given to execution factors please see </w:t>
            </w:r>
            <w:r w:rsidRPr="00E65556">
              <w:rPr>
                <w:sz w:val="18"/>
                <w:szCs w:val="18"/>
              </w:rPr>
              <w:t xml:space="preserve"> </w:t>
            </w:r>
            <w:r>
              <w:rPr>
                <w:sz w:val="18"/>
                <w:szCs w:val="18"/>
              </w:rPr>
              <w:t xml:space="preserve"> J.P. Morgan EMEA Custody &amp; Fund Services:</w:t>
            </w:r>
            <w:r w:rsidRPr="00E65556">
              <w:rPr>
                <w:sz w:val="18"/>
                <w:szCs w:val="18"/>
              </w:rPr>
              <w:t xml:space="preserve"> Execution Policy</w:t>
            </w:r>
            <w:r>
              <w:rPr>
                <w:sz w:val="18"/>
                <w:szCs w:val="18"/>
              </w:rPr>
              <w:t xml:space="preserve">. </w:t>
            </w:r>
            <w:r w:rsidRPr="00E65556">
              <w:rPr>
                <w:sz w:val="18"/>
                <w:szCs w:val="18"/>
              </w:rPr>
              <w:t xml:space="preserve"> </w:t>
            </w:r>
          </w:p>
        </w:tc>
      </w:tr>
      <w:tr w:rsidR="00427817"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76731691" w:rsidR="00427817" w:rsidRPr="003C48D4" w:rsidRDefault="00427817" w:rsidP="00427817">
            <w:pPr>
              <w:rPr>
                <w:sz w:val="18"/>
                <w:szCs w:val="18"/>
              </w:rPr>
            </w:pPr>
            <w:r>
              <w:rPr>
                <w:sz w:val="18"/>
                <w:szCs w:val="18"/>
              </w:rPr>
              <w:t>Receiving firm</w:t>
            </w:r>
            <w:r w:rsidRPr="003C48D4">
              <w:rPr>
                <w:sz w:val="18"/>
                <w:szCs w:val="18"/>
              </w:rPr>
              <w:t xml:space="preserve"> close links / conflicts of interest / common ownerships</w:t>
            </w:r>
          </w:p>
        </w:tc>
        <w:tc>
          <w:tcPr>
            <w:tcW w:w="9990" w:type="dxa"/>
            <w:tcBorders>
              <w:right w:val="single" w:sz="12" w:space="0" w:color="auto"/>
            </w:tcBorders>
          </w:tcPr>
          <w:p w14:paraId="2EC61C7F" w14:textId="31E601BB" w:rsidR="00427817" w:rsidRPr="00E65556" w:rsidRDefault="00427817" w:rsidP="00427817">
            <w:pPr>
              <w:rPr>
                <w:i/>
                <w:sz w:val="18"/>
                <w:szCs w:val="18"/>
              </w:rPr>
            </w:pPr>
            <w:r w:rsidRPr="00E65556">
              <w:rPr>
                <w:sz w:val="18"/>
                <w:szCs w:val="18"/>
              </w:rPr>
              <w:t>Please note that some of the investment vehicles we make available may include investment funds of our affiliates.</w:t>
            </w:r>
          </w:p>
        </w:tc>
      </w:tr>
      <w:tr w:rsidR="00427817" w:rsidRPr="003C48D4" w14:paraId="2DAB95B0" w14:textId="77777777" w:rsidTr="00FD4180">
        <w:tc>
          <w:tcPr>
            <w:tcW w:w="4410" w:type="dxa"/>
            <w:tcBorders>
              <w:left w:val="single" w:sz="12" w:space="0" w:color="auto"/>
            </w:tcBorders>
            <w:shd w:val="clear" w:color="auto" w:fill="D9D9D9" w:themeFill="background1" w:themeFillShade="D9"/>
          </w:tcPr>
          <w:p w14:paraId="10FD8627" w14:textId="7EE00E9E" w:rsidR="00427817" w:rsidRPr="003C48D4" w:rsidRDefault="00427817" w:rsidP="00427817">
            <w:pPr>
              <w:rPr>
                <w:sz w:val="18"/>
                <w:szCs w:val="18"/>
              </w:rPr>
            </w:pPr>
            <w:r w:rsidRPr="003C48D4">
              <w:rPr>
                <w:sz w:val="18"/>
                <w:szCs w:val="18"/>
              </w:rPr>
              <w:t xml:space="preserve">Specific </w:t>
            </w:r>
            <w:r>
              <w:rPr>
                <w:sz w:val="18"/>
                <w:szCs w:val="18"/>
              </w:rPr>
              <w:t>receiving firm</w:t>
            </w:r>
            <w:r w:rsidRPr="003C48D4">
              <w:rPr>
                <w:sz w:val="18"/>
                <w:szCs w:val="18"/>
              </w:rPr>
              <w:t xml:space="preserve"> arrangements</w:t>
            </w:r>
          </w:p>
        </w:tc>
        <w:tc>
          <w:tcPr>
            <w:tcW w:w="9990" w:type="dxa"/>
            <w:tcBorders>
              <w:right w:val="single" w:sz="12" w:space="0" w:color="auto"/>
            </w:tcBorders>
          </w:tcPr>
          <w:p w14:paraId="69103419" w14:textId="514C6238" w:rsidR="00427817" w:rsidRPr="00E65556" w:rsidRDefault="00427817" w:rsidP="00427817">
            <w:pPr>
              <w:rPr>
                <w:i/>
                <w:sz w:val="18"/>
                <w:szCs w:val="18"/>
              </w:rPr>
            </w:pPr>
            <w:r>
              <w:rPr>
                <w:sz w:val="18"/>
                <w:szCs w:val="18"/>
              </w:rPr>
              <w:t xml:space="preserve">Not Applicable </w:t>
            </w:r>
          </w:p>
        </w:tc>
      </w:tr>
      <w:tr w:rsidR="00427817"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648DCF72" w:rsidR="00427817" w:rsidRPr="003C48D4" w:rsidRDefault="00427817" w:rsidP="00427817">
            <w:pPr>
              <w:rPr>
                <w:sz w:val="18"/>
                <w:szCs w:val="18"/>
              </w:rPr>
            </w:pPr>
            <w:r w:rsidRPr="003C48D4">
              <w:rPr>
                <w:sz w:val="18"/>
                <w:szCs w:val="18"/>
              </w:rPr>
              <w:t xml:space="preserve">Changes to </w:t>
            </w:r>
            <w:r>
              <w:rPr>
                <w:sz w:val="18"/>
                <w:szCs w:val="18"/>
              </w:rPr>
              <w:t>receiving firms</w:t>
            </w:r>
          </w:p>
        </w:tc>
        <w:tc>
          <w:tcPr>
            <w:tcW w:w="9990" w:type="dxa"/>
            <w:tcBorders>
              <w:right w:val="single" w:sz="12" w:space="0" w:color="auto"/>
            </w:tcBorders>
          </w:tcPr>
          <w:p w14:paraId="7AAE2319" w14:textId="7368D12E" w:rsidR="00427817" w:rsidRPr="00E65556" w:rsidRDefault="00427817" w:rsidP="00427817">
            <w:pPr>
              <w:spacing w:after="120"/>
              <w:rPr>
                <w:i/>
                <w:sz w:val="18"/>
                <w:szCs w:val="18"/>
              </w:rPr>
            </w:pPr>
            <w:r>
              <w:rPr>
                <w:sz w:val="18"/>
                <w:szCs w:val="18"/>
              </w:rPr>
              <w:t>Not Applicable</w:t>
            </w:r>
          </w:p>
        </w:tc>
      </w:tr>
      <w:tr w:rsidR="00427817" w:rsidRPr="003C48D4" w14:paraId="2FC4ECE3" w14:textId="77777777" w:rsidTr="00FD4180">
        <w:tc>
          <w:tcPr>
            <w:tcW w:w="4410" w:type="dxa"/>
            <w:tcBorders>
              <w:left w:val="single" w:sz="12" w:space="0" w:color="auto"/>
            </w:tcBorders>
            <w:shd w:val="clear" w:color="auto" w:fill="D9D9D9" w:themeFill="background1" w:themeFillShade="D9"/>
          </w:tcPr>
          <w:p w14:paraId="691822B8" w14:textId="7E445624" w:rsidR="00427817" w:rsidRPr="003C48D4" w:rsidRDefault="00427817" w:rsidP="00427817">
            <w:pPr>
              <w:rPr>
                <w:sz w:val="18"/>
                <w:szCs w:val="18"/>
              </w:rPr>
            </w:pPr>
            <w:r w:rsidRPr="003C48D4">
              <w:rPr>
                <w:sz w:val="18"/>
                <w:szCs w:val="18"/>
              </w:rPr>
              <w:t>Client distinctions</w:t>
            </w:r>
          </w:p>
        </w:tc>
        <w:tc>
          <w:tcPr>
            <w:tcW w:w="9990" w:type="dxa"/>
            <w:tcBorders>
              <w:right w:val="single" w:sz="12" w:space="0" w:color="auto"/>
            </w:tcBorders>
          </w:tcPr>
          <w:p w14:paraId="5DF8E062" w14:textId="1BCF6694" w:rsidR="00427817" w:rsidRPr="00E65556" w:rsidRDefault="00427817" w:rsidP="00427817">
            <w:pPr>
              <w:spacing w:after="120"/>
              <w:rPr>
                <w:i/>
                <w:sz w:val="18"/>
                <w:szCs w:val="18"/>
              </w:rPr>
            </w:pPr>
            <w:r w:rsidRPr="00E65556">
              <w:rPr>
                <w:sz w:val="18"/>
                <w:szCs w:val="18"/>
              </w:rPr>
              <w:t>All clients are treated as professio</w:t>
            </w:r>
            <w:r w:rsidR="001A1962">
              <w:rPr>
                <w:sz w:val="18"/>
                <w:szCs w:val="18"/>
              </w:rPr>
              <w:t>nal clients for the purpose of Best E</w:t>
            </w:r>
            <w:bookmarkStart w:id="0" w:name="_GoBack"/>
            <w:bookmarkEnd w:id="0"/>
            <w:r w:rsidRPr="00E65556">
              <w:rPr>
                <w:sz w:val="18"/>
                <w:szCs w:val="18"/>
              </w:rPr>
              <w:t>xecution.</w:t>
            </w:r>
          </w:p>
        </w:tc>
      </w:tr>
      <w:tr w:rsidR="00427817" w:rsidRPr="003C48D4" w14:paraId="673F7C22" w14:textId="77777777" w:rsidTr="00FD4180">
        <w:tc>
          <w:tcPr>
            <w:tcW w:w="4410" w:type="dxa"/>
            <w:tcBorders>
              <w:left w:val="single" w:sz="12" w:space="0" w:color="auto"/>
            </w:tcBorders>
            <w:shd w:val="clear" w:color="auto" w:fill="D9D9D9" w:themeFill="background1" w:themeFillShade="D9"/>
          </w:tcPr>
          <w:p w14:paraId="30C09FC6" w14:textId="6D6E0CF4" w:rsidR="00427817" w:rsidRPr="003C48D4" w:rsidRDefault="00427817" w:rsidP="00427817">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68BE4A91" w14:textId="1A802CD0" w:rsidR="00427817" w:rsidRPr="00E65556" w:rsidRDefault="00427817" w:rsidP="00427817">
            <w:pPr>
              <w:spacing w:after="120"/>
              <w:rPr>
                <w:i/>
                <w:sz w:val="18"/>
                <w:szCs w:val="18"/>
              </w:rPr>
            </w:pPr>
            <w:r>
              <w:rPr>
                <w:sz w:val="18"/>
                <w:szCs w:val="18"/>
              </w:rPr>
              <w:t>The quality of the execution is monitored through the Bank’s automated systems which manage and reconcile executions of orders against execution factors relevant to a particular line of business as further outlined in J.P. Morgan EMEA Custody &amp; Fund Services:</w:t>
            </w:r>
            <w:r w:rsidRPr="00E65556">
              <w:rPr>
                <w:sz w:val="18"/>
                <w:szCs w:val="18"/>
              </w:rPr>
              <w:t xml:space="preserve"> Execution</w:t>
            </w:r>
            <w:r>
              <w:rPr>
                <w:sz w:val="18"/>
                <w:szCs w:val="18"/>
              </w:rPr>
              <w:t xml:space="preserve">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427817"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71627F39" w:rsidR="00427817" w:rsidRPr="003C48D4" w:rsidRDefault="00427817" w:rsidP="00427817">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50B03439" w:rsidR="00427817" w:rsidRPr="00E65556" w:rsidRDefault="00427817" w:rsidP="00427817">
            <w:pPr>
              <w:spacing w:after="120"/>
              <w:rPr>
                <w:i/>
                <w:sz w:val="18"/>
                <w:szCs w:val="18"/>
              </w:rPr>
            </w:pPr>
            <w:r>
              <w:rPr>
                <w:sz w:val="18"/>
                <w:szCs w:val="18"/>
              </w:rPr>
              <w:t xml:space="preserve">Not Applicable </w:t>
            </w:r>
          </w:p>
        </w:tc>
      </w:tr>
    </w:tbl>
    <w:p w14:paraId="57724523" w14:textId="7E1A40CE" w:rsidR="003C48D4" w:rsidRPr="00427817" w:rsidRDefault="003C48D4" w:rsidP="007A6941">
      <w:pPr>
        <w:rPr>
          <w:b/>
        </w:rPr>
      </w:pPr>
    </w:p>
    <w:sectPr w:rsidR="003C48D4" w:rsidRPr="00427817"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E64EF" w14:textId="548F5990" w:rsidR="00791919" w:rsidRPr="00791919" w:rsidRDefault="001A1962">
    <w:pPr>
      <w:pStyle w:val="Footer"/>
      <w:rPr>
        <w:color w:val="000000" w:themeColor="text1"/>
        <w:sz w:val="20"/>
        <w:szCs w:val="20"/>
      </w:rPr>
    </w:pPr>
    <w:sdt>
      <w:sdtPr>
        <w:rPr>
          <w:sz w:val="18"/>
          <w:szCs w:val="18"/>
        </w:rPr>
        <w:alias w:val="Author"/>
        <w:id w:val="54214575"/>
        <w:placeholder>
          <w:docPart w:val="1A65BFFCF07743A0BB518246296B8971"/>
        </w:placeholder>
        <w:dataBinding w:prefixMappings="xmlns:ns0='http://schemas.openxmlformats.org/package/2006/metadata/core-properties' xmlns:ns1='http://purl.org/dc/elements/1.1/'" w:xpath="/ns0:coreProperties[1]/ns1:creator[1]" w:storeItemID="{6C3C8BC8-F283-45AE-878A-BAB7291924A1}"/>
        <w:text/>
      </w:sdtPr>
      <w:sdtEndPr/>
      <w:sdtContent>
        <w:r w:rsidR="00BD3AD6" w:rsidRPr="00BD3AD6">
          <w:rPr>
            <w:sz w:val="18"/>
            <w:szCs w:val="18"/>
          </w:rPr>
          <w:t>J.P. Morgan Bank (Ireland) PLC (5493009H2EPHG3FWFK39)</w:t>
        </w:r>
      </w:sdtContent>
    </w:sdt>
  </w:p>
  <w:p w14:paraId="75030BEC" w14:textId="77777777" w:rsidR="00791919" w:rsidRDefault="00791919">
    <w:pPr>
      <w:pStyle w:val="Footer"/>
    </w:pPr>
    <w:r>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5E1F4139"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5E1F4139"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B29B9"/>
    <w:rsid w:val="00141D70"/>
    <w:rsid w:val="00192129"/>
    <w:rsid w:val="001A1962"/>
    <w:rsid w:val="001D0CA7"/>
    <w:rsid w:val="001E4046"/>
    <w:rsid w:val="00210DEB"/>
    <w:rsid w:val="00217666"/>
    <w:rsid w:val="00236BCE"/>
    <w:rsid w:val="002B39A0"/>
    <w:rsid w:val="002D07D7"/>
    <w:rsid w:val="002D1780"/>
    <w:rsid w:val="003008C6"/>
    <w:rsid w:val="00307A3E"/>
    <w:rsid w:val="0035063A"/>
    <w:rsid w:val="003537EB"/>
    <w:rsid w:val="003A6015"/>
    <w:rsid w:val="003C48D4"/>
    <w:rsid w:val="00425674"/>
    <w:rsid w:val="00427817"/>
    <w:rsid w:val="00433831"/>
    <w:rsid w:val="0047552E"/>
    <w:rsid w:val="004D5B5F"/>
    <w:rsid w:val="005110F9"/>
    <w:rsid w:val="00520E03"/>
    <w:rsid w:val="00576636"/>
    <w:rsid w:val="005B14E1"/>
    <w:rsid w:val="005F1A34"/>
    <w:rsid w:val="005F6456"/>
    <w:rsid w:val="00667ED1"/>
    <w:rsid w:val="006B03A5"/>
    <w:rsid w:val="00791919"/>
    <w:rsid w:val="007A6941"/>
    <w:rsid w:val="007B228E"/>
    <w:rsid w:val="00800816"/>
    <w:rsid w:val="00804E0D"/>
    <w:rsid w:val="008475F2"/>
    <w:rsid w:val="00863C86"/>
    <w:rsid w:val="008A1C89"/>
    <w:rsid w:val="008C3D9F"/>
    <w:rsid w:val="008E595C"/>
    <w:rsid w:val="00901F44"/>
    <w:rsid w:val="00902C96"/>
    <w:rsid w:val="00912863"/>
    <w:rsid w:val="00917912"/>
    <w:rsid w:val="009203A5"/>
    <w:rsid w:val="00965D08"/>
    <w:rsid w:val="009802F7"/>
    <w:rsid w:val="00981C47"/>
    <w:rsid w:val="00A00273"/>
    <w:rsid w:val="00A32451"/>
    <w:rsid w:val="00A872C5"/>
    <w:rsid w:val="00AA0005"/>
    <w:rsid w:val="00AA5380"/>
    <w:rsid w:val="00AD1EBB"/>
    <w:rsid w:val="00AE1027"/>
    <w:rsid w:val="00AE4966"/>
    <w:rsid w:val="00B674C2"/>
    <w:rsid w:val="00B87544"/>
    <w:rsid w:val="00B94F41"/>
    <w:rsid w:val="00BD3AD6"/>
    <w:rsid w:val="00C302FD"/>
    <w:rsid w:val="00C36827"/>
    <w:rsid w:val="00CA0C7B"/>
    <w:rsid w:val="00CC4589"/>
    <w:rsid w:val="00CF30DA"/>
    <w:rsid w:val="00E063FD"/>
    <w:rsid w:val="00E65556"/>
    <w:rsid w:val="00E73067"/>
    <w:rsid w:val="00E845ED"/>
    <w:rsid w:val="00EE008A"/>
    <w:rsid w:val="00EE09DB"/>
    <w:rsid w:val="00F010E3"/>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A65BFFCF07743A0BB518246296B8971"/>
        <w:category>
          <w:name w:val="General"/>
          <w:gallery w:val="placeholder"/>
        </w:category>
        <w:types>
          <w:type w:val="bbPlcHdr"/>
        </w:types>
        <w:behaviors>
          <w:behavior w:val="content"/>
        </w:behaviors>
        <w:guid w:val="{B119C587-FB45-4843-876D-00686A11A83F}"/>
      </w:docPartPr>
      <w:docPartBody>
        <w:p w:rsidR="009D0862" w:rsidRDefault="00E14861" w:rsidP="00E14861">
          <w:pPr>
            <w:pStyle w:val="1A65BFFCF07743A0BB518246296B8971"/>
          </w:pPr>
          <w: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61"/>
    <w:rsid w:val="009D0862"/>
    <w:rsid w:val="00E14861"/>
    <w:rsid w:val="00F94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65BFFCF07743A0BB518246296B8971">
    <w:name w:val="1A65BFFCF07743A0BB518246296B8971"/>
    <w:rsid w:val="00E148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F37365B9-C600-4AAF-9D55-0073DED78B8A}">
  <ds:schemaRefs>
    <ds:schemaRef ds:uri="http://schemas.microsoft.com/sharepoint/v3/contenttype/forms"/>
  </ds:schemaRefs>
</ds:datastoreItem>
</file>

<file path=customXml/itemProps2.xml><?xml version="1.0" encoding="utf-8"?>
<ds:datastoreItem xmlns:ds="http://schemas.openxmlformats.org/officeDocument/2006/customXml" ds:itemID="{48776E99-2F2A-4E93-A813-920DAB16C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87A67-FA87-4842-8CC9-4E7E8786049A}">
  <ds:schemaRefs>
    <ds:schemaRef ds:uri="http://purl.org/dc/elements/1.1/"/>
    <ds:schemaRef ds:uri="http://schemas.microsoft.com/office/2006/documentManagement/types"/>
    <ds:schemaRef ds:uri="http://schemas.openxmlformats.org/package/2006/metadata/core-properties"/>
    <ds:schemaRef ds:uri="7d1f7825-6765-4743-817d-89ed4ea58d40"/>
    <ds:schemaRef ds:uri="http://purl.org/dc/dcmitype/"/>
    <ds:schemaRef ds:uri="http://purl.org/dc/term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 Morgan Bank (Ireland) PLC (5493009H2EPHG3FWFK39)</dc:creator>
  <cp:lastModifiedBy>Ruchman, Adam T</cp:lastModifiedBy>
  <cp:revision>6</cp:revision>
  <dcterms:created xsi:type="dcterms:W3CDTF">2018-04-23T11:17:00Z</dcterms:created>
  <dcterms:modified xsi:type="dcterms:W3CDTF">2018-04-27T13:47:00Z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